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17D" w:rsidRDefault="00B3317D" w:rsidP="00B3317D">
      <w:r>
        <w:rPr>
          <w:rFonts w:hint="cs"/>
          <w:color w:val="1F497D"/>
          <w:sz w:val="22"/>
          <w:szCs w:val="22"/>
          <w:rtl/>
        </w:rPr>
        <w:br/>
      </w:r>
      <w:r>
        <w:rPr>
          <w:noProof/>
        </w:rPr>
        <w:drawing>
          <wp:inline distT="0" distB="0" distL="0" distR="0">
            <wp:extent cx="1724025" cy="600075"/>
            <wp:effectExtent l="0" t="0" r="9525" b="9525"/>
            <wp:docPr id="1" name="Picture 1" descr="cid:image004.png@01D2BCDE.84B287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98" descr="cid:image004.png@01D2BCDE.84B287E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p>
    <w:p w:rsidR="00B3317D" w:rsidRDefault="00B3317D" w:rsidP="00B3317D"/>
    <w:p w:rsidR="00B3317D" w:rsidRDefault="00B3317D" w:rsidP="00B3317D">
      <w:pPr>
        <w:rPr>
          <w:b/>
          <w:bCs/>
        </w:rPr>
      </w:pPr>
      <w:r>
        <w:rPr>
          <w:rFonts w:hint="cs"/>
          <w:b/>
          <w:bCs/>
          <w:rtl/>
        </w:rPr>
        <w:t>שלום רב,</w:t>
      </w:r>
    </w:p>
    <w:p w:rsidR="00B3317D" w:rsidRDefault="00B3317D" w:rsidP="00B3317D">
      <w:pPr>
        <w:rPr>
          <w:b/>
          <w:bCs/>
          <w:color w:val="1F497D"/>
          <w:sz w:val="22"/>
          <w:szCs w:val="22"/>
        </w:rPr>
      </w:pPr>
    </w:p>
    <w:p w:rsidR="00B3317D" w:rsidRDefault="00B3317D" w:rsidP="00B3317D">
      <w:r>
        <w:rPr>
          <w:rFonts w:hint="cs"/>
          <w:rtl/>
        </w:rPr>
        <w:t>הריני להביא לידיעתכם כי משרד המדע והטכנולוגיה פרסם</w:t>
      </w:r>
      <w:r>
        <w:rPr>
          <w:rFonts w:hint="cs"/>
          <w:b/>
          <w:bCs/>
          <w:rtl/>
        </w:rPr>
        <w:t xml:space="preserve"> </w:t>
      </w:r>
      <w:hyperlink r:id="rId7" w:history="1">
        <w:r>
          <w:rPr>
            <w:rStyle w:val="Hyperlink"/>
            <w:rFonts w:hint="cs"/>
            <w:rtl/>
          </w:rPr>
          <w:t>קול קורא להגשת הצעות מחקר במסגרת שיתוף הפעולה עם איטליה לשנת 2020.</w:t>
        </w:r>
      </w:hyperlink>
    </w:p>
    <w:p w:rsidR="00B3317D" w:rsidRDefault="00B3317D" w:rsidP="00B3317D"/>
    <w:p w:rsidR="00B3317D" w:rsidRDefault="00B3317D" w:rsidP="00B3317D">
      <w:pPr>
        <w:rPr>
          <w:b/>
          <w:bCs/>
          <w:u w:val="single"/>
        </w:rPr>
      </w:pPr>
    </w:p>
    <w:p w:rsidR="00B3317D" w:rsidRDefault="00B3317D" w:rsidP="00B3317D">
      <w:pPr>
        <w:bidi w:val="0"/>
        <w:spacing w:line="360" w:lineRule="auto"/>
        <w:jc w:val="center"/>
        <w:rPr>
          <w:rFonts w:ascii="Arial Narrow" w:hAnsi="Arial Narrow"/>
          <w:i/>
          <w:iCs/>
          <w:color w:val="4472C4"/>
          <w:sz w:val="32"/>
          <w:szCs w:val="32"/>
        </w:rPr>
      </w:pPr>
      <w:r>
        <w:rPr>
          <w:rFonts w:ascii="Arial Narrow" w:hAnsi="Arial Narrow"/>
          <w:b/>
          <w:bCs/>
          <w:i/>
          <w:iCs/>
          <w:color w:val="4472C4"/>
          <w:sz w:val="32"/>
          <w:szCs w:val="32"/>
        </w:rPr>
        <w:t xml:space="preserve">Ninth Call for Proposals on Scientific and Technological Cooperation </w:t>
      </w:r>
    </w:p>
    <w:p w:rsidR="00B3317D" w:rsidRDefault="00B3317D" w:rsidP="00B3317D">
      <w:pPr>
        <w:bidi w:val="0"/>
        <w:spacing w:line="360" w:lineRule="auto"/>
        <w:jc w:val="center"/>
        <w:rPr>
          <w:rFonts w:hint="cs"/>
          <w:b/>
          <w:bCs/>
          <w:i/>
          <w:iCs/>
          <w:color w:val="4472C4"/>
          <w:sz w:val="32"/>
          <w:szCs w:val="32"/>
          <w:rtl/>
        </w:rPr>
      </w:pPr>
      <w:r>
        <w:rPr>
          <w:rFonts w:ascii="Arial Narrow" w:hAnsi="Arial Narrow"/>
          <w:b/>
          <w:bCs/>
          <w:i/>
          <w:iCs/>
          <w:color w:val="4472C4"/>
          <w:sz w:val="32"/>
          <w:szCs w:val="32"/>
        </w:rPr>
        <w:t>between Italy and Israel</w:t>
      </w:r>
    </w:p>
    <w:p w:rsidR="00B3317D" w:rsidRDefault="00B3317D" w:rsidP="00B3317D">
      <w:pPr>
        <w:bidi w:val="0"/>
        <w:rPr>
          <w:rFonts w:ascii="Arial Narrow" w:hAnsi="Arial Narrow"/>
          <w:b/>
          <w:bCs/>
        </w:rPr>
      </w:pPr>
    </w:p>
    <w:p w:rsidR="00B3317D" w:rsidRDefault="00B3317D" w:rsidP="00B3317D">
      <w:pPr>
        <w:bidi w:val="0"/>
        <w:spacing w:after="120"/>
        <w:rPr>
          <w:rFonts w:ascii="Arial Narrow" w:hAnsi="Arial Narrow" w:hint="cs"/>
          <w:rtl/>
        </w:rPr>
      </w:pPr>
      <w:r>
        <w:rPr>
          <w:rFonts w:ascii="Arial Narrow" w:hAnsi="Arial Narrow"/>
          <w:b/>
          <w:bCs/>
        </w:rPr>
        <w:t>A. AREAS OF COOPERATION</w:t>
      </w:r>
    </w:p>
    <w:p w:rsidR="00B3317D" w:rsidRDefault="00B3317D" w:rsidP="00B3317D">
      <w:pPr>
        <w:bidi w:val="0"/>
        <w:spacing w:after="120"/>
        <w:jc w:val="both"/>
        <w:rPr>
          <w:rFonts w:ascii="Arial Narrow" w:hAnsi="Arial Narrow"/>
        </w:rPr>
      </w:pPr>
      <w:r>
        <w:rPr>
          <w:rFonts w:ascii="Arial Narrow" w:hAnsi="Arial Narrow"/>
        </w:rPr>
        <w:t xml:space="preserve">Within the framework of the Agreement on Industrial, Scientific and Technological Cooperation between Italy and Israel (hereinafter called the “Agreement”) and in particular under the Sub-Committee for the implementation of the academic cooperation, the Ministry of Foreign Affairs and International Cooperation (referred to hereafter as “MFAIC”), the Directorate General for Cultural and Economic Promotion and Innovation for the Italian side and the Israeli Ministry of Science and Technology (referred to hereafter as “MOST”) – referred to hereafter as “the Parties” – are providing financial support for joint Italian-Israeli research projects carried out jointly by scientists from both countries. Italian-Israeli research teams are hereby invited to submit joint research proposals in the following areas: </w:t>
      </w:r>
    </w:p>
    <w:p w:rsidR="00B3317D" w:rsidRDefault="00B3317D" w:rsidP="00B3317D">
      <w:pPr>
        <w:bidi w:val="0"/>
        <w:spacing w:after="120"/>
        <w:jc w:val="both"/>
        <w:rPr>
          <w:rFonts w:ascii="Arial Narrow" w:hAnsi="Arial Narrow"/>
        </w:rPr>
      </w:pPr>
    </w:p>
    <w:p w:rsidR="00B3317D" w:rsidRDefault="00B3317D" w:rsidP="00B3317D">
      <w:pPr>
        <w:pStyle w:val="ListParagraph"/>
        <w:numPr>
          <w:ilvl w:val="0"/>
          <w:numId w:val="1"/>
        </w:numPr>
        <w:autoSpaceDE w:val="0"/>
        <w:bidi w:val="0"/>
        <w:spacing w:after="120"/>
        <w:jc w:val="both"/>
      </w:pPr>
      <w:r>
        <w:rPr>
          <w:rFonts w:ascii="Arial Narrow" w:hAnsi="Arial Narrow"/>
          <w:b/>
          <w:bCs/>
        </w:rPr>
        <w:t>Targeted drug delivery</w:t>
      </w:r>
      <w:r>
        <w:rPr>
          <w:rFonts w:ascii="Arial Narrow" w:hAnsi="Arial Narrow"/>
        </w:rPr>
        <w:t xml:space="preserve"> - The aim of targeted drug delivery is to generate pharmacologically effective drug concentration at the site of disease while keeping a very low/minimal drug concentration in other sites that are not involved with the disease. The goal is to prolong, localize, target and have a selective drug interaction with the diseased cell/organ/tissue. This would be achieved by specific delivery to anatomical area or cell/organ/tissue or ideally and exclusively to specific cells that are the focus of the disease to be treated.</w:t>
      </w:r>
    </w:p>
    <w:p w:rsidR="00B3317D" w:rsidRDefault="00B3317D" w:rsidP="00B3317D">
      <w:pPr>
        <w:pStyle w:val="ListParagraph"/>
        <w:numPr>
          <w:ilvl w:val="0"/>
          <w:numId w:val="1"/>
        </w:numPr>
        <w:autoSpaceDE w:val="0"/>
        <w:autoSpaceDN w:val="0"/>
        <w:bidi w:val="0"/>
        <w:jc w:val="both"/>
        <w:rPr>
          <w:rFonts w:ascii="Arial Narrow" w:hAnsi="Arial Narrow"/>
          <w:b/>
          <w:bCs/>
        </w:rPr>
      </w:pPr>
      <w:r>
        <w:rPr>
          <w:rFonts w:ascii="Arial Narrow" w:hAnsi="Arial Narrow"/>
          <w:b/>
          <w:bCs/>
        </w:rPr>
        <w:t xml:space="preserve">Green chemistry and development of novel environment friendly materials </w:t>
      </w:r>
    </w:p>
    <w:p w:rsidR="00B3317D" w:rsidRDefault="00B3317D" w:rsidP="00B3317D">
      <w:pPr>
        <w:autoSpaceDE w:val="0"/>
        <w:autoSpaceDN w:val="0"/>
        <w:bidi w:val="0"/>
        <w:spacing w:after="120"/>
        <w:jc w:val="both"/>
        <w:rPr>
          <w:rFonts w:ascii="Arial Narrow" w:hAnsi="Arial Narrow"/>
          <w:lang w:eastAsia="zh-CN"/>
        </w:rPr>
      </w:pPr>
      <w:r>
        <w:rPr>
          <w:rFonts w:ascii="Arial Narrow" w:hAnsi="Arial Narrow"/>
        </w:rPr>
        <w:t>Novel environment friendly materials - Development of novel environment friendly materials that are significantly less harmful for the environment than existing materials for their whole life cycle. Examples: degradable polymers, alternative/green pesticides, materials for green electronic, etc.</w:t>
      </w:r>
    </w:p>
    <w:p w:rsidR="00B3317D" w:rsidRDefault="00B3317D" w:rsidP="00B3317D">
      <w:pPr>
        <w:autoSpaceDE w:val="0"/>
        <w:autoSpaceDN w:val="0"/>
        <w:bidi w:val="0"/>
        <w:spacing w:after="120"/>
        <w:jc w:val="both"/>
      </w:pPr>
      <w:r>
        <w:rPr>
          <w:rFonts w:ascii="Arial Narrow" w:hAnsi="Arial Narrow"/>
        </w:rPr>
        <w:t>Green chemistry - Green chemistry is dealing with the design and development of sustainable products and processes that significantly minimize or eliminate the use or generation of hazardous/toxic/nonrenewable substances that harm the environment. In addition, the use of green chemistry saves resources for the separation of products and byproducts and treatment of the byproducts.</w:t>
      </w:r>
    </w:p>
    <w:p w:rsidR="00B3317D" w:rsidRDefault="00B3317D" w:rsidP="00B3317D">
      <w:pPr>
        <w:rPr>
          <w:b/>
          <w:bCs/>
          <w:u w:val="single"/>
        </w:rPr>
      </w:pPr>
      <w:r>
        <w:rPr>
          <w:rFonts w:hint="cs"/>
          <w:b/>
          <w:bCs/>
          <w:u w:val="single"/>
          <w:rtl/>
        </w:rPr>
        <w:t>מועד אחרון להגשת ההצעות:</w:t>
      </w:r>
    </w:p>
    <w:p w:rsidR="00B3317D" w:rsidRDefault="00B3317D" w:rsidP="00B3317D">
      <w:pPr>
        <w:pStyle w:val="BodyText"/>
        <w:rPr>
          <w:rFonts w:ascii="Arial" w:hAnsi="Arial" w:cs="Arial" w:hint="cs"/>
          <w:b/>
          <w:bCs/>
          <w:color w:val="1F497D"/>
          <w:rtl/>
        </w:rPr>
      </w:pPr>
      <w:r>
        <w:rPr>
          <w:rFonts w:ascii="Arial" w:hAnsi="Arial" w:cs="Arial"/>
          <w:color w:val="000000"/>
          <w:rtl/>
        </w:rPr>
        <w:t>ההצעות תגענה אל המשרד</w:t>
      </w:r>
      <w:r>
        <w:rPr>
          <w:rFonts w:hint="cs"/>
          <w:rtl/>
        </w:rPr>
        <w:t xml:space="preserve"> </w:t>
      </w:r>
      <w:r>
        <w:rPr>
          <w:rFonts w:ascii="Arial" w:hAnsi="Arial" w:cs="Arial"/>
          <w:rtl/>
        </w:rPr>
        <w:t>באמצעות הדואר האלקטרוני, לא יאוחר מתאריך</w:t>
      </w:r>
      <w:r>
        <w:rPr>
          <w:rFonts w:ascii="Arial" w:hAnsi="Arial" w:cs="Arial"/>
          <w:b/>
          <w:bCs/>
          <w:color w:val="000000"/>
          <w:rtl/>
        </w:rPr>
        <w:t xml:space="preserve"> </w:t>
      </w:r>
      <w:r>
        <w:rPr>
          <w:rFonts w:ascii="Arial" w:hAnsi="Arial" w:cs="Arial"/>
          <w:b/>
          <w:bCs/>
          <w:color w:val="FF0000"/>
          <w:u w:val="single"/>
          <w:rtl/>
        </w:rPr>
        <w:t>28.10.2019 עד השעה 15:00</w:t>
      </w:r>
      <w:r>
        <w:rPr>
          <w:rFonts w:ascii="Arial" w:hAnsi="Arial" w:cs="Arial"/>
          <w:color w:val="FF0000"/>
          <w:rtl/>
        </w:rPr>
        <w:t xml:space="preserve"> </w:t>
      </w:r>
      <w:r>
        <w:rPr>
          <w:rFonts w:ascii="Arial" w:hAnsi="Arial" w:cs="Arial"/>
          <w:rtl/>
        </w:rPr>
        <w:t>לכתובת:</w:t>
      </w:r>
      <w:r>
        <w:rPr>
          <w:rFonts w:ascii="Arial" w:hAnsi="Arial" w:cs="Arial"/>
          <w:color w:val="000000"/>
          <w:rtl/>
        </w:rPr>
        <w:t xml:space="preserve"> </w:t>
      </w:r>
      <w:hyperlink r:id="rId8" w:history="1">
        <w:r>
          <w:rPr>
            <w:rStyle w:val="Hyperlink"/>
            <w:rFonts w:ascii="Calibri Light" w:hAnsi="Calibri Light" w:cs="Calibri Light"/>
          </w:rPr>
          <w:t>italy@most.gov.il</w:t>
        </w:r>
      </w:hyperlink>
      <w:r>
        <w:rPr>
          <w:rFonts w:ascii="Arial" w:hAnsi="Arial" w:cs="Arial"/>
          <w:b/>
          <w:bCs/>
          <w:color w:val="000000"/>
          <w:rtl/>
        </w:rPr>
        <w:t xml:space="preserve"> </w:t>
      </w:r>
    </w:p>
    <w:p w:rsidR="00B3317D" w:rsidRDefault="00B3317D" w:rsidP="00B3317D">
      <w:pPr>
        <w:pStyle w:val="BodyText"/>
        <w:rPr>
          <w:rFonts w:ascii="Arial" w:hAnsi="Arial" w:cs="Arial"/>
          <w:b/>
          <w:bCs/>
          <w:color w:val="000000"/>
        </w:rPr>
      </w:pPr>
    </w:p>
    <w:p w:rsidR="00B3317D" w:rsidRDefault="00B3317D" w:rsidP="00B3317D">
      <w:r>
        <w:rPr>
          <w:rFonts w:hint="cs"/>
          <w:b/>
          <w:bCs/>
          <w:rtl/>
        </w:rPr>
        <w:lastRenderedPageBreak/>
        <w:t>הערה</w:t>
      </w:r>
      <w:r>
        <w:rPr>
          <w:rFonts w:hint="cs"/>
          <w:rtl/>
        </w:rPr>
        <w:t>: יובהר כי נכון למועד פרסום קול קורא זה לא קיים תקציב לביצוע ההתקשרות לביצוע הפעילות. ההתקשרות מותנת בקיום תקציב ייעודי מתאים בתקנה הרלוונטית. לא תבוצע כל פעילות בעניין הנ"ל לפני חתימה על הסכם התקשרות עם המשרד ע"י מורשה החתימה.</w:t>
      </w:r>
    </w:p>
    <w:p w:rsidR="00B3317D" w:rsidRDefault="00B3317D" w:rsidP="00B3317D"/>
    <w:p w:rsidR="00B3317D" w:rsidRDefault="00B3317D" w:rsidP="00B3317D">
      <w:r>
        <w:rPr>
          <w:rFonts w:hint="cs"/>
          <w:rtl/>
        </w:rPr>
        <w:t>אודה לכם באם תפיצו מידע זה בין הגורמים הרלוונטיים במוסדכם.</w:t>
      </w:r>
    </w:p>
    <w:p w:rsidR="00B3317D" w:rsidRDefault="00B3317D" w:rsidP="00B3317D"/>
    <w:p w:rsidR="00B3317D" w:rsidRDefault="00B3317D" w:rsidP="00B3317D">
      <w:pPr>
        <w:rPr>
          <w:rFonts w:hint="cs"/>
          <w:b/>
          <w:bCs/>
          <w:rtl/>
        </w:rPr>
      </w:pPr>
      <w:r>
        <w:rPr>
          <w:rFonts w:hint="cs"/>
          <w:b/>
          <w:bCs/>
          <w:rtl/>
        </w:rPr>
        <w:t xml:space="preserve">ב </w:t>
      </w:r>
      <w:proofErr w:type="spellStart"/>
      <w:r>
        <w:rPr>
          <w:rFonts w:hint="cs"/>
          <w:b/>
          <w:bCs/>
          <w:rtl/>
        </w:rPr>
        <w:t>ב</w:t>
      </w:r>
      <w:proofErr w:type="spellEnd"/>
      <w:r>
        <w:rPr>
          <w:rFonts w:hint="cs"/>
          <w:b/>
          <w:bCs/>
          <w:rtl/>
        </w:rPr>
        <w:t xml:space="preserve"> ר כ ה ,</w:t>
      </w:r>
    </w:p>
    <w:p w:rsidR="00B3317D" w:rsidRDefault="00B3317D" w:rsidP="00B3317D">
      <w:pPr>
        <w:rPr>
          <w:rFonts w:hint="cs"/>
          <w:b/>
          <w:bCs/>
          <w:rtl/>
        </w:rPr>
      </w:pPr>
    </w:p>
    <w:p w:rsidR="00B3317D" w:rsidRDefault="00B3317D" w:rsidP="00B3317D">
      <w:pPr>
        <w:rPr>
          <w:rFonts w:hint="cs"/>
          <w:b/>
          <w:bCs/>
          <w:rtl/>
        </w:rPr>
      </w:pPr>
      <w:r>
        <w:rPr>
          <w:rFonts w:hint="cs"/>
          <w:b/>
          <w:bCs/>
          <w:rtl/>
        </w:rPr>
        <w:t>מאירה בנימין</w:t>
      </w:r>
    </w:p>
    <w:p w:rsidR="00B3317D" w:rsidRDefault="00B3317D" w:rsidP="00B3317D">
      <w:pPr>
        <w:rPr>
          <w:rFonts w:hint="cs"/>
          <w:rtl/>
        </w:rPr>
      </w:pPr>
    </w:p>
    <w:p w:rsidR="00B3317D" w:rsidRDefault="00B3317D" w:rsidP="00B3317D"/>
    <w:p w:rsidR="00B3317D" w:rsidRDefault="00B3317D" w:rsidP="00B3317D">
      <w:pPr>
        <w:rPr>
          <w:rFonts w:ascii="Calibri" w:hAnsi="Calibri" w:cs="Calibri"/>
          <w:sz w:val="22"/>
          <w:szCs w:val="22"/>
        </w:rPr>
      </w:pPr>
    </w:p>
    <w:tbl>
      <w:tblPr>
        <w:tblW w:w="0" w:type="auto"/>
        <w:jc w:val="center"/>
        <w:tblCellMar>
          <w:left w:w="0" w:type="dxa"/>
          <w:right w:w="0" w:type="dxa"/>
        </w:tblCellMar>
        <w:tblLook w:val="04A0" w:firstRow="1" w:lastRow="0" w:firstColumn="1" w:lastColumn="0" w:noHBand="0" w:noVBand="1"/>
      </w:tblPr>
      <w:tblGrid>
        <w:gridCol w:w="3589"/>
        <w:gridCol w:w="701"/>
        <w:gridCol w:w="856"/>
        <w:gridCol w:w="3160"/>
      </w:tblGrid>
      <w:tr w:rsidR="00B3317D" w:rsidTr="00B3317D">
        <w:trPr>
          <w:trHeight w:val="705"/>
          <w:jc w:val="center"/>
        </w:trPr>
        <w:tc>
          <w:tcPr>
            <w:tcW w:w="3681" w:type="dxa"/>
            <w:tcBorders>
              <w:top w:val="single" w:sz="8" w:space="0" w:color="auto"/>
              <w:left w:val="nil"/>
              <w:bottom w:val="nil"/>
              <w:right w:val="nil"/>
            </w:tcBorders>
            <w:tcMar>
              <w:top w:w="0" w:type="dxa"/>
              <w:left w:w="108" w:type="dxa"/>
              <w:bottom w:w="0" w:type="dxa"/>
              <w:right w:w="108" w:type="dxa"/>
            </w:tcMar>
            <w:hideMark/>
          </w:tcPr>
          <w:p w:rsidR="00B3317D" w:rsidRDefault="00B3317D">
            <w:pPr>
              <w:bidi w:val="0"/>
              <w:ind w:right="-225"/>
              <w:rPr>
                <w:color w:val="1F497D"/>
                <w:sz w:val="18"/>
                <w:szCs w:val="18"/>
                <w:u w:val="single"/>
              </w:rPr>
            </w:pPr>
            <w:proofErr w:type="spellStart"/>
            <w:r>
              <w:rPr>
                <w:b/>
                <w:bCs/>
                <w:color w:val="1F497D"/>
                <w:sz w:val="18"/>
                <w:szCs w:val="18"/>
              </w:rPr>
              <w:t>Meira</w:t>
            </w:r>
            <w:proofErr w:type="spellEnd"/>
            <w:r>
              <w:rPr>
                <w:b/>
                <w:bCs/>
                <w:color w:val="1F497D"/>
                <w:sz w:val="18"/>
                <w:szCs w:val="18"/>
              </w:rPr>
              <w:t xml:space="preserve"> Binyamin</w:t>
            </w:r>
            <w:r>
              <w:rPr>
                <w:color w:val="1F497D"/>
                <w:sz w:val="18"/>
                <w:szCs w:val="18"/>
                <w:shd w:val="clear" w:color="auto" w:fill="FFFFFF"/>
              </w:rPr>
              <w:br/>
            </w:r>
            <w:r>
              <w:rPr>
                <w:rFonts w:ascii="Calibri" w:hAnsi="Calibri" w:cs="Calibri"/>
                <w:color w:val="1F497D"/>
                <w:sz w:val="22"/>
                <w:szCs w:val="22"/>
              </w:rPr>
              <w:t>Head of Scientific Assistance</w:t>
            </w:r>
          </w:p>
          <w:p w:rsidR="00B3317D" w:rsidRDefault="00B3317D">
            <w:pPr>
              <w:bidi w:val="0"/>
              <w:ind w:right="-225"/>
              <w:rPr>
                <w:rFonts w:ascii="Calibri" w:hAnsi="Calibri" w:cs="Calibri"/>
                <w:color w:val="1F497D"/>
                <w:sz w:val="18"/>
                <w:szCs w:val="18"/>
              </w:rPr>
            </w:pPr>
            <w:r>
              <w:rPr>
                <w:color w:val="1F497D"/>
                <w:sz w:val="18"/>
                <w:szCs w:val="18"/>
                <w:u w:val="single"/>
              </w:rPr>
              <w:t>Israel, Ministry of Science &amp; Technology</w:t>
            </w:r>
          </w:p>
        </w:tc>
        <w:tc>
          <w:tcPr>
            <w:tcW w:w="1342" w:type="dxa"/>
            <w:gridSpan w:val="2"/>
            <w:vMerge w:val="restart"/>
            <w:tcBorders>
              <w:top w:val="single" w:sz="8" w:space="0" w:color="auto"/>
              <w:left w:val="nil"/>
              <w:bottom w:val="nil"/>
              <w:right w:val="nil"/>
            </w:tcBorders>
            <w:tcMar>
              <w:top w:w="0" w:type="dxa"/>
              <w:left w:w="108" w:type="dxa"/>
              <w:bottom w:w="0" w:type="dxa"/>
              <w:right w:w="108" w:type="dxa"/>
            </w:tcMar>
            <w:vAlign w:val="center"/>
            <w:hideMark/>
          </w:tcPr>
          <w:p w:rsidR="00B3317D" w:rsidRDefault="00B3317D">
            <w:pPr>
              <w:rPr>
                <w:rFonts w:ascii="Calibri" w:hAnsi="Calibri" w:cs="Calibri"/>
                <w:color w:val="1F497D"/>
                <w:sz w:val="18"/>
                <w:szCs w:val="18"/>
                <w:rtl/>
              </w:rPr>
            </w:pPr>
          </w:p>
        </w:tc>
        <w:tc>
          <w:tcPr>
            <w:tcW w:w="3227" w:type="dxa"/>
            <w:tcBorders>
              <w:top w:val="single" w:sz="8" w:space="0" w:color="auto"/>
              <w:left w:val="nil"/>
              <w:bottom w:val="nil"/>
              <w:right w:val="nil"/>
            </w:tcBorders>
            <w:tcMar>
              <w:top w:w="0" w:type="dxa"/>
              <w:left w:w="108" w:type="dxa"/>
              <w:bottom w:w="0" w:type="dxa"/>
              <w:right w:w="108" w:type="dxa"/>
            </w:tcMar>
            <w:hideMark/>
          </w:tcPr>
          <w:p w:rsidR="00B3317D" w:rsidRDefault="00B3317D">
            <w:pPr>
              <w:rPr>
                <w:color w:val="1F497D"/>
                <w:sz w:val="18"/>
                <w:szCs w:val="18"/>
                <w:shd w:val="clear" w:color="auto" w:fill="FFFFFF"/>
              </w:rPr>
            </w:pPr>
            <w:r>
              <w:rPr>
                <w:rFonts w:hint="cs"/>
                <w:b/>
                <w:bCs/>
                <w:color w:val="1F497D"/>
                <w:sz w:val="18"/>
                <w:szCs w:val="18"/>
                <w:shd w:val="clear" w:color="auto" w:fill="FFFFFF"/>
                <w:rtl/>
              </w:rPr>
              <w:t>מאירה בנימין</w:t>
            </w:r>
          </w:p>
          <w:p w:rsidR="00B3317D" w:rsidRDefault="00B3317D">
            <w:pPr>
              <w:rPr>
                <w:color w:val="1F497D"/>
                <w:sz w:val="18"/>
                <w:szCs w:val="18"/>
                <w:shd w:val="clear" w:color="auto" w:fill="FFFFFF"/>
              </w:rPr>
            </w:pPr>
            <w:r>
              <w:rPr>
                <w:rFonts w:hint="cs"/>
                <w:color w:val="1F497D"/>
                <w:sz w:val="18"/>
                <w:szCs w:val="18"/>
                <w:shd w:val="clear" w:color="auto" w:fill="FFFFFF"/>
                <w:rtl/>
              </w:rPr>
              <w:t>ראש ענף סיוע מדעי</w:t>
            </w:r>
          </w:p>
          <w:p w:rsidR="00B3317D" w:rsidRDefault="00B3317D">
            <w:pPr>
              <w:rPr>
                <w:color w:val="1F497D"/>
                <w:sz w:val="18"/>
                <w:szCs w:val="18"/>
              </w:rPr>
            </w:pPr>
            <w:r>
              <w:rPr>
                <w:rFonts w:hint="cs"/>
                <w:color w:val="1F497D"/>
                <w:sz w:val="18"/>
                <w:szCs w:val="18"/>
                <w:u w:val="single"/>
                <w:shd w:val="clear" w:color="auto" w:fill="FFFFFF"/>
                <w:rtl/>
              </w:rPr>
              <w:t>משרד המדע והטכנולוגיה</w:t>
            </w:r>
          </w:p>
        </w:tc>
      </w:tr>
      <w:tr w:rsidR="00B3317D" w:rsidTr="00B3317D">
        <w:trPr>
          <w:jc w:val="center"/>
        </w:trPr>
        <w:tc>
          <w:tcPr>
            <w:tcW w:w="3681" w:type="dxa"/>
            <w:tcMar>
              <w:top w:w="0" w:type="dxa"/>
              <w:left w:w="108" w:type="dxa"/>
              <w:bottom w:w="0" w:type="dxa"/>
              <w:right w:w="108" w:type="dxa"/>
            </w:tcMar>
            <w:hideMark/>
          </w:tcPr>
          <w:p w:rsidR="00B3317D" w:rsidRDefault="00B3317D">
            <w:pPr>
              <w:bidi w:val="0"/>
              <w:rPr>
                <w:color w:val="808080"/>
                <w:sz w:val="18"/>
                <w:szCs w:val="18"/>
                <w:shd w:val="clear" w:color="auto" w:fill="FFFFFF"/>
              </w:rPr>
            </w:pPr>
            <w:r>
              <w:rPr>
                <w:color w:val="808080"/>
                <w:sz w:val="18"/>
                <w:szCs w:val="18"/>
                <w:shd w:val="clear" w:color="auto" w:fill="FFFFFF"/>
              </w:rPr>
              <w:t>Office:</w:t>
            </w:r>
          </w:p>
          <w:p w:rsidR="00B3317D" w:rsidRDefault="00B3317D">
            <w:pPr>
              <w:bidi w:val="0"/>
              <w:rPr>
                <w:color w:val="808080"/>
                <w:sz w:val="18"/>
                <w:szCs w:val="18"/>
                <w:shd w:val="clear" w:color="auto" w:fill="FFFFFF"/>
              </w:rPr>
            </w:pPr>
            <w:r>
              <w:rPr>
                <w:color w:val="808080"/>
                <w:sz w:val="18"/>
                <w:szCs w:val="18"/>
                <w:shd w:val="clear" w:color="auto" w:fill="FFFFFF"/>
              </w:rPr>
              <w:t>+972 (2) 5411170/173/800/829</w:t>
            </w:r>
            <w:r>
              <w:rPr>
                <w:color w:val="808080"/>
                <w:sz w:val="18"/>
                <w:szCs w:val="18"/>
                <w:shd w:val="clear" w:color="auto" w:fill="FFFFFF"/>
                <w:rtl/>
              </w:rPr>
              <w:t xml:space="preserve"> </w:t>
            </w:r>
          </w:p>
          <w:p w:rsidR="00B3317D" w:rsidRDefault="00B3317D">
            <w:pPr>
              <w:bidi w:val="0"/>
              <w:rPr>
                <w:color w:val="808080"/>
                <w:sz w:val="18"/>
                <w:szCs w:val="18"/>
                <w:shd w:val="clear" w:color="auto" w:fill="FFFFFF"/>
              </w:rPr>
            </w:pPr>
            <w:r>
              <w:rPr>
                <w:color w:val="808080"/>
                <w:sz w:val="18"/>
                <w:szCs w:val="18"/>
                <w:shd w:val="clear" w:color="auto" w:fill="FFFFFF"/>
              </w:rPr>
              <w:t xml:space="preserve">Fax: +972 (2) </w:t>
            </w:r>
            <w:r>
              <w:rPr>
                <w:rFonts w:hint="cs"/>
                <w:color w:val="808080"/>
                <w:sz w:val="18"/>
                <w:szCs w:val="18"/>
                <w:shd w:val="clear" w:color="auto" w:fill="FFFFFF"/>
                <w:rtl/>
              </w:rPr>
              <w:t>5412534</w:t>
            </w:r>
          </w:p>
        </w:tc>
        <w:tc>
          <w:tcPr>
            <w:tcW w:w="0" w:type="auto"/>
            <w:gridSpan w:val="2"/>
            <w:vMerge/>
            <w:tcBorders>
              <w:top w:val="single" w:sz="8" w:space="0" w:color="auto"/>
              <w:left w:val="nil"/>
              <w:bottom w:val="nil"/>
              <w:right w:val="nil"/>
            </w:tcBorders>
            <w:vAlign w:val="center"/>
            <w:hideMark/>
          </w:tcPr>
          <w:p w:rsidR="00B3317D" w:rsidRDefault="00B3317D">
            <w:pPr>
              <w:bidi w:val="0"/>
              <w:rPr>
                <w:rFonts w:ascii="Calibri" w:hAnsi="Calibri" w:cs="Calibri"/>
                <w:color w:val="1F497D"/>
                <w:sz w:val="18"/>
                <w:szCs w:val="18"/>
              </w:rPr>
            </w:pPr>
          </w:p>
        </w:tc>
        <w:tc>
          <w:tcPr>
            <w:tcW w:w="3227" w:type="dxa"/>
            <w:tcMar>
              <w:top w:w="0" w:type="dxa"/>
              <w:left w:w="108" w:type="dxa"/>
              <w:bottom w:w="0" w:type="dxa"/>
              <w:right w:w="108" w:type="dxa"/>
            </w:tcMar>
            <w:hideMark/>
          </w:tcPr>
          <w:p w:rsidR="00B3317D" w:rsidRDefault="00B3317D">
            <w:pPr>
              <w:rPr>
                <w:color w:val="808080"/>
                <w:sz w:val="18"/>
                <w:szCs w:val="18"/>
                <w:shd w:val="clear" w:color="auto" w:fill="FFFFFF"/>
              </w:rPr>
            </w:pPr>
            <w:r>
              <w:rPr>
                <w:rFonts w:hint="cs"/>
                <w:color w:val="808080"/>
                <w:sz w:val="18"/>
                <w:szCs w:val="18"/>
                <w:shd w:val="clear" w:color="auto" w:fill="FFFFFF"/>
                <w:rtl/>
              </w:rPr>
              <w:t>עבודה:</w:t>
            </w:r>
          </w:p>
          <w:p w:rsidR="00B3317D" w:rsidRDefault="00B3317D">
            <w:pPr>
              <w:rPr>
                <w:rFonts w:hint="cs"/>
                <w:color w:val="808080"/>
                <w:sz w:val="18"/>
                <w:szCs w:val="18"/>
                <w:shd w:val="clear" w:color="auto" w:fill="FFFFFF"/>
                <w:rtl/>
              </w:rPr>
            </w:pPr>
            <w:r>
              <w:rPr>
                <w:color w:val="808080"/>
                <w:sz w:val="18"/>
                <w:szCs w:val="18"/>
                <w:shd w:val="clear" w:color="auto" w:fill="FFFFFF"/>
              </w:rPr>
              <w:t xml:space="preserve">02-5411170/173/800/829 </w:t>
            </w:r>
          </w:p>
          <w:p w:rsidR="00B3317D" w:rsidRDefault="00B3317D">
            <w:pPr>
              <w:rPr>
                <w:rFonts w:ascii="Calibri" w:hAnsi="Calibri" w:cs="Calibri" w:hint="cs"/>
                <w:color w:val="1F497D"/>
                <w:sz w:val="18"/>
                <w:szCs w:val="18"/>
                <w:rtl/>
              </w:rPr>
            </w:pPr>
            <w:r>
              <w:rPr>
                <w:rFonts w:hint="cs"/>
                <w:color w:val="808080"/>
                <w:sz w:val="18"/>
                <w:szCs w:val="18"/>
                <w:shd w:val="clear" w:color="auto" w:fill="FFFFFF"/>
                <w:rtl/>
              </w:rPr>
              <w:t xml:space="preserve">פקס: 02-5412534 </w:t>
            </w:r>
          </w:p>
        </w:tc>
      </w:tr>
      <w:tr w:rsidR="00B3317D" w:rsidTr="00B3317D">
        <w:trPr>
          <w:jc w:val="center"/>
        </w:trPr>
        <w:tc>
          <w:tcPr>
            <w:tcW w:w="8250" w:type="dxa"/>
            <w:gridSpan w:val="4"/>
            <w:tcMar>
              <w:top w:w="0" w:type="dxa"/>
              <w:left w:w="108" w:type="dxa"/>
              <w:bottom w:w="0" w:type="dxa"/>
              <w:right w:w="108" w:type="dxa"/>
            </w:tcMar>
            <w:hideMark/>
          </w:tcPr>
          <w:p w:rsidR="00B3317D" w:rsidRDefault="00B3317D">
            <w:pPr>
              <w:bidi w:val="0"/>
              <w:ind w:right="-435"/>
              <w:jc w:val="center"/>
              <w:rPr>
                <w:rFonts w:ascii="Calibri" w:hAnsi="Calibri" w:cs="Calibri"/>
                <w:color w:val="1F497D"/>
                <w:sz w:val="18"/>
                <w:szCs w:val="18"/>
                <w:rtl/>
              </w:rPr>
            </w:pPr>
            <w:hyperlink r:id="rId9" w:history="1">
              <w:r>
                <w:rPr>
                  <w:rStyle w:val="Hyperlink"/>
                  <w:color w:val="0000FF"/>
                  <w:sz w:val="18"/>
                  <w:szCs w:val="18"/>
                  <w:shd w:val="clear" w:color="auto" w:fill="FFFFFF"/>
                </w:rPr>
                <w:t>www.most.gov.il</w:t>
              </w:r>
            </w:hyperlink>
            <w:r>
              <w:rPr>
                <w:color w:val="1F497D"/>
                <w:sz w:val="18"/>
                <w:szCs w:val="18"/>
                <w:shd w:val="clear" w:color="auto" w:fill="FFFFFF"/>
              </w:rPr>
              <w:br/>
            </w:r>
            <w:hyperlink r:id="rId10" w:history="1">
              <w:r>
                <w:rPr>
                  <w:rStyle w:val="Hyperlink"/>
                  <w:color w:val="0000FF"/>
                  <w:sz w:val="18"/>
                  <w:szCs w:val="18"/>
                  <w:shd w:val="clear" w:color="auto" w:fill="FFFFFF"/>
                </w:rPr>
                <w:t>Meira@most.gov.il</w:t>
              </w:r>
            </w:hyperlink>
            <w:r>
              <w:rPr>
                <w:color w:val="1F497D"/>
                <w:sz w:val="18"/>
                <w:szCs w:val="18"/>
                <w:shd w:val="clear" w:color="auto" w:fill="FFFFFF"/>
              </w:rPr>
              <w:t xml:space="preserve"> </w:t>
            </w:r>
          </w:p>
        </w:tc>
      </w:tr>
      <w:tr w:rsidR="00B3317D" w:rsidTr="00B3317D">
        <w:trPr>
          <w:jc w:val="center"/>
        </w:trPr>
        <w:tc>
          <w:tcPr>
            <w:tcW w:w="4284" w:type="dxa"/>
            <w:gridSpan w:val="2"/>
            <w:tcMar>
              <w:top w:w="0" w:type="dxa"/>
              <w:left w:w="108" w:type="dxa"/>
              <w:bottom w:w="0" w:type="dxa"/>
              <w:right w:w="108" w:type="dxa"/>
            </w:tcMar>
            <w:hideMark/>
          </w:tcPr>
          <w:p w:rsidR="00B3317D" w:rsidRDefault="00B3317D">
            <w:pPr>
              <w:jc w:val="right"/>
              <w:rPr>
                <w:color w:val="1F497D"/>
                <w:sz w:val="18"/>
                <w:szCs w:val="18"/>
              </w:rPr>
            </w:pPr>
            <w:r>
              <w:rPr>
                <w:b/>
                <w:bCs/>
                <w:color w:val="1F497D"/>
                <w:sz w:val="18"/>
                <w:szCs w:val="18"/>
                <w:u w:val="single"/>
              </w:rPr>
              <w:t>Address</w:t>
            </w:r>
            <w:r>
              <w:rPr>
                <w:color w:val="1F497D"/>
                <w:sz w:val="18"/>
                <w:szCs w:val="18"/>
              </w:rPr>
              <w:t xml:space="preserve">: </w:t>
            </w:r>
          </w:p>
          <w:p w:rsidR="00B3317D" w:rsidRDefault="00B3317D">
            <w:pPr>
              <w:jc w:val="right"/>
              <w:rPr>
                <w:color w:val="1F497D"/>
                <w:sz w:val="18"/>
                <w:szCs w:val="18"/>
              </w:rPr>
            </w:pPr>
            <w:proofErr w:type="spellStart"/>
            <w:r>
              <w:rPr>
                <w:color w:val="1F497D"/>
                <w:sz w:val="18"/>
                <w:szCs w:val="18"/>
              </w:rPr>
              <w:t>Kiryat</w:t>
            </w:r>
            <w:proofErr w:type="spellEnd"/>
            <w:r>
              <w:rPr>
                <w:color w:val="1F497D"/>
                <w:sz w:val="18"/>
                <w:szCs w:val="18"/>
              </w:rPr>
              <w:t xml:space="preserve"> Begin-Government Offices, </w:t>
            </w:r>
          </w:p>
          <w:p w:rsidR="00B3317D" w:rsidRDefault="00B3317D">
            <w:pPr>
              <w:jc w:val="right"/>
              <w:rPr>
                <w:rFonts w:hint="cs"/>
                <w:color w:val="1F497D"/>
                <w:sz w:val="18"/>
                <w:szCs w:val="18"/>
                <w:rtl/>
              </w:rPr>
            </w:pPr>
            <w:proofErr w:type="spellStart"/>
            <w:r>
              <w:rPr>
                <w:color w:val="1F497D"/>
                <w:sz w:val="18"/>
                <w:szCs w:val="18"/>
              </w:rPr>
              <w:t>Hakirya</w:t>
            </w:r>
            <w:proofErr w:type="spellEnd"/>
            <w:r>
              <w:rPr>
                <w:color w:val="1F497D"/>
                <w:sz w:val="18"/>
                <w:szCs w:val="18"/>
              </w:rPr>
              <w:t xml:space="preserve"> </w:t>
            </w:r>
            <w:proofErr w:type="spellStart"/>
            <w:r>
              <w:rPr>
                <w:color w:val="1F497D"/>
                <w:sz w:val="18"/>
                <w:szCs w:val="18"/>
              </w:rPr>
              <w:t>Hamizrahit</w:t>
            </w:r>
            <w:proofErr w:type="spellEnd"/>
          </w:p>
          <w:p w:rsidR="00B3317D" w:rsidRDefault="00B3317D">
            <w:pPr>
              <w:ind w:left="-108"/>
              <w:jc w:val="right"/>
              <w:rPr>
                <w:color w:val="1F497D"/>
                <w:sz w:val="18"/>
                <w:szCs w:val="18"/>
              </w:rPr>
            </w:pPr>
            <w:r>
              <w:rPr>
                <w:color w:val="1F497D"/>
                <w:sz w:val="18"/>
                <w:szCs w:val="18"/>
              </w:rPr>
              <w:t xml:space="preserve">Clermont </w:t>
            </w:r>
            <w:proofErr w:type="spellStart"/>
            <w:r>
              <w:rPr>
                <w:color w:val="1F497D"/>
                <w:sz w:val="18"/>
                <w:szCs w:val="18"/>
              </w:rPr>
              <w:t>Ganneau</w:t>
            </w:r>
            <w:proofErr w:type="spellEnd"/>
            <w:r>
              <w:rPr>
                <w:color w:val="1F497D"/>
                <w:sz w:val="18"/>
                <w:szCs w:val="18"/>
              </w:rPr>
              <w:t xml:space="preserve"> St.3</w:t>
            </w:r>
          </w:p>
          <w:p w:rsidR="00B3317D" w:rsidRDefault="00B3317D">
            <w:pPr>
              <w:ind w:left="-108"/>
              <w:jc w:val="right"/>
              <w:rPr>
                <w:color w:val="1F497D"/>
                <w:sz w:val="18"/>
                <w:szCs w:val="18"/>
              </w:rPr>
            </w:pPr>
            <w:r>
              <w:rPr>
                <w:color w:val="1F497D"/>
                <w:sz w:val="18"/>
                <w:szCs w:val="18"/>
              </w:rPr>
              <w:t>Building 3, 3rd floor,</w:t>
            </w:r>
          </w:p>
          <w:p w:rsidR="00B3317D" w:rsidRDefault="00B3317D">
            <w:pPr>
              <w:ind w:left="-108"/>
              <w:jc w:val="right"/>
              <w:rPr>
                <w:color w:val="1F497D"/>
                <w:sz w:val="18"/>
                <w:szCs w:val="18"/>
              </w:rPr>
            </w:pPr>
            <w:r>
              <w:rPr>
                <w:color w:val="1F497D"/>
                <w:sz w:val="18"/>
                <w:szCs w:val="18"/>
              </w:rPr>
              <w:t xml:space="preserve">room 309, </w:t>
            </w:r>
            <w:proofErr w:type="spellStart"/>
            <w:r>
              <w:rPr>
                <w:color w:val="1F497D"/>
                <w:sz w:val="18"/>
                <w:szCs w:val="18"/>
              </w:rPr>
              <w:t>P.</w:t>
            </w:r>
            <w:proofErr w:type="gramStart"/>
            <w:r>
              <w:rPr>
                <w:color w:val="1F497D"/>
                <w:sz w:val="18"/>
                <w:szCs w:val="18"/>
              </w:rPr>
              <w:t>O.Box</w:t>
            </w:r>
            <w:proofErr w:type="spellEnd"/>
            <w:proofErr w:type="gramEnd"/>
            <w:r>
              <w:rPr>
                <w:color w:val="1F497D"/>
                <w:sz w:val="18"/>
                <w:szCs w:val="18"/>
              </w:rPr>
              <w:t xml:space="preserve"> 49100</w:t>
            </w:r>
          </w:p>
          <w:p w:rsidR="00B3317D" w:rsidRDefault="00B3317D">
            <w:pPr>
              <w:bidi w:val="0"/>
              <w:ind w:right="-435"/>
              <w:rPr>
                <w:rFonts w:ascii="Times New Roman" w:hAnsi="Times New Roman" w:cs="Times New Roman"/>
                <w:color w:val="1F497D"/>
                <w:sz w:val="18"/>
                <w:szCs w:val="18"/>
                <w:shd w:val="clear" w:color="auto" w:fill="FFFFFF"/>
              </w:rPr>
            </w:pPr>
            <w:r>
              <w:rPr>
                <w:color w:val="1F497D"/>
                <w:sz w:val="18"/>
                <w:szCs w:val="18"/>
              </w:rPr>
              <w:t>Jerusalem 9149002, Israel</w:t>
            </w:r>
          </w:p>
        </w:tc>
        <w:tc>
          <w:tcPr>
            <w:tcW w:w="3966" w:type="dxa"/>
            <w:gridSpan w:val="2"/>
            <w:hideMark/>
          </w:tcPr>
          <w:p w:rsidR="00B3317D" w:rsidRDefault="00B3317D">
            <w:pPr>
              <w:rPr>
                <w:color w:val="1F497D"/>
                <w:sz w:val="18"/>
                <w:szCs w:val="18"/>
                <w:shd w:val="clear" w:color="auto" w:fill="FFFFFF"/>
              </w:rPr>
            </w:pPr>
            <w:r>
              <w:rPr>
                <w:rFonts w:hint="cs"/>
                <w:b/>
                <w:bCs/>
                <w:color w:val="1F497D"/>
                <w:sz w:val="18"/>
                <w:szCs w:val="18"/>
                <w:u w:val="single"/>
                <w:shd w:val="clear" w:color="auto" w:fill="FFFFFF"/>
                <w:rtl/>
              </w:rPr>
              <w:t>כתובת</w:t>
            </w:r>
            <w:r>
              <w:rPr>
                <w:rFonts w:hint="cs"/>
                <w:color w:val="1F497D"/>
                <w:sz w:val="18"/>
                <w:szCs w:val="18"/>
                <w:shd w:val="clear" w:color="auto" w:fill="FFFFFF"/>
                <w:rtl/>
              </w:rPr>
              <w:t xml:space="preserve">: </w:t>
            </w:r>
          </w:p>
          <w:p w:rsidR="00B3317D" w:rsidRDefault="00B3317D">
            <w:pPr>
              <w:rPr>
                <w:color w:val="1F497D"/>
                <w:sz w:val="18"/>
                <w:szCs w:val="18"/>
                <w:shd w:val="clear" w:color="auto" w:fill="FFFFFF"/>
              </w:rPr>
            </w:pPr>
            <w:proofErr w:type="spellStart"/>
            <w:r>
              <w:rPr>
                <w:rFonts w:hint="cs"/>
                <w:color w:val="1F497D"/>
                <w:sz w:val="18"/>
                <w:szCs w:val="18"/>
                <w:shd w:val="clear" w:color="auto" w:fill="FFFFFF"/>
                <w:rtl/>
              </w:rPr>
              <w:t>קרית</w:t>
            </w:r>
            <w:proofErr w:type="spellEnd"/>
            <w:r>
              <w:rPr>
                <w:rFonts w:hint="cs"/>
                <w:color w:val="1F497D"/>
                <w:sz w:val="18"/>
                <w:szCs w:val="18"/>
                <w:shd w:val="clear" w:color="auto" w:fill="FFFFFF"/>
                <w:rtl/>
              </w:rPr>
              <w:t xml:space="preserve"> בגין – </w:t>
            </w:r>
            <w:proofErr w:type="spellStart"/>
            <w:r>
              <w:rPr>
                <w:rFonts w:hint="cs"/>
                <w:color w:val="1F497D"/>
                <w:sz w:val="18"/>
                <w:szCs w:val="18"/>
                <w:shd w:val="clear" w:color="auto" w:fill="FFFFFF"/>
                <w:rtl/>
              </w:rPr>
              <w:t>קרית</w:t>
            </w:r>
            <w:proofErr w:type="spellEnd"/>
            <w:r>
              <w:rPr>
                <w:rFonts w:hint="cs"/>
                <w:color w:val="1F497D"/>
                <w:sz w:val="18"/>
                <w:szCs w:val="18"/>
                <w:shd w:val="clear" w:color="auto" w:fill="FFFFFF"/>
                <w:rtl/>
              </w:rPr>
              <w:t xml:space="preserve"> הממשלה (המזרחית),</w:t>
            </w:r>
          </w:p>
          <w:p w:rsidR="00B3317D" w:rsidRDefault="00B3317D">
            <w:pPr>
              <w:rPr>
                <w:rFonts w:hint="cs"/>
                <w:color w:val="1F497D"/>
                <w:sz w:val="18"/>
                <w:szCs w:val="18"/>
                <w:shd w:val="clear" w:color="auto" w:fill="FFFFFF"/>
                <w:rtl/>
              </w:rPr>
            </w:pPr>
            <w:r>
              <w:rPr>
                <w:rFonts w:hint="cs"/>
                <w:color w:val="1F497D"/>
                <w:sz w:val="18"/>
                <w:szCs w:val="18"/>
                <w:shd w:val="clear" w:color="auto" w:fill="FFFFFF"/>
                <w:rtl/>
              </w:rPr>
              <w:t xml:space="preserve">רח' </w:t>
            </w:r>
            <w:proofErr w:type="spellStart"/>
            <w:r>
              <w:rPr>
                <w:rFonts w:hint="cs"/>
                <w:color w:val="1F497D"/>
                <w:sz w:val="18"/>
                <w:szCs w:val="18"/>
                <w:shd w:val="clear" w:color="auto" w:fill="FFFFFF"/>
                <w:rtl/>
              </w:rPr>
              <w:t>קלרמון</w:t>
            </w:r>
            <w:proofErr w:type="spellEnd"/>
            <w:r>
              <w:rPr>
                <w:rFonts w:hint="cs"/>
                <w:color w:val="1F497D"/>
                <w:sz w:val="18"/>
                <w:szCs w:val="18"/>
                <w:shd w:val="clear" w:color="auto" w:fill="FFFFFF"/>
                <w:rtl/>
              </w:rPr>
              <w:t xml:space="preserve"> </w:t>
            </w:r>
            <w:proofErr w:type="spellStart"/>
            <w:r>
              <w:rPr>
                <w:rFonts w:hint="cs"/>
                <w:color w:val="1F497D"/>
                <w:sz w:val="18"/>
                <w:szCs w:val="18"/>
                <w:shd w:val="clear" w:color="auto" w:fill="FFFFFF"/>
                <w:rtl/>
              </w:rPr>
              <w:t>גאנו</w:t>
            </w:r>
            <w:proofErr w:type="spellEnd"/>
            <w:r>
              <w:rPr>
                <w:rFonts w:hint="cs"/>
                <w:color w:val="1F497D"/>
                <w:sz w:val="18"/>
                <w:szCs w:val="18"/>
                <w:shd w:val="clear" w:color="auto" w:fill="FFFFFF"/>
                <w:rtl/>
              </w:rPr>
              <w:t xml:space="preserve"> 3, </w:t>
            </w:r>
          </w:p>
          <w:p w:rsidR="00B3317D" w:rsidRDefault="00B3317D">
            <w:pPr>
              <w:rPr>
                <w:color w:val="1F497D"/>
                <w:sz w:val="18"/>
                <w:szCs w:val="18"/>
                <w:shd w:val="clear" w:color="auto" w:fill="FFFFFF"/>
              </w:rPr>
            </w:pPr>
            <w:r>
              <w:rPr>
                <w:rFonts w:hint="cs"/>
                <w:color w:val="1F497D"/>
                <w:sz w:val="18"/>
                <w:szCs w:val="18"/>
                <w:shd w:val="clear" w:color="auto" w:fill="FFFFFF"/>
                <w:rtl/>
              </w:rPr>
              <w:t xml:space="preserve">בניין ג', קומה 3, </w:t>
            </w:r>
          </w:p>
          <w:p w:rsidR="00B3317D" w:rsidRDefault="00B3317D">
            <w:pPr>
              <w:rPr>
                <w:color w:val="1F497D"/>
                <w:sz w:val="18"/>
                <w:szCs w:val="18"/>
                <w:shd w:val="clear" w:color="auto" w:fill="FFFFFF"/>
              </w:rPr>
            </w:pPr>
            <w:r>
              <w:rPr>
                <w:rFonts w:hint="cs"/>
                <w:color w:val="1F497D"/>
                <w:sz w:val="18"/>
                <w:szCs w:val="18"/>
                <w:shd w:val="clear" w:color="auto" w:fill="FFFFFF"/>
                <w:rtl/>
              </w:rPr>
              <w:t xml:space="preserve">חדר 309, ת"ד 49100, </w:t>
            </w:r>
          </w:p>
          <w:p w:rsidR="00B3317D" w:rsidRDefault="00B3317D">
            <w:pPr>
              <w:rPr>
                <w:color w:val="1F497D"/>
                <w:sz w:val="18"/>
                <w:szCs w:val="18"/>
                <w:shd w:val="clear" w:color="auto" w:fill="FFFFFF"/>
              </w:rPr>
            </w:pPr>
            <w:r>
              <w:rPr>
                <w:rFonts w:hint="cs"/>
                <w:color w:val="1F497D"/>
                <w:sz w:val="18"/>
                <w:szCs w:val="18"/>
                <w:shd w:val="clear" w:color="auto" w:fill="FFFFFF"/>
                <w:rtl/>
              </w:rPr>
              <w:t xml:space="preserve">ירושלים </w:t>
            </w:r>
            <w:r>
              <w:rPr>
                <w:color w:val="1F497D"/>
                <w:sz w:val="18"/>
                <w:szCs w:val="18"/>
                <w:shd w:val="clear" w:color="auto" w:fill="FFFFFF"/>
              </w:rPr>
              <w:t>02</w:t>
            </w:r>
            <w:r>
              <w:rPr>
                <w:rFonts w:hint="cs"/>
                <w:color w:val="1F497D"/>
                <w:sz w:val="18"/>
                <w:szCs w:val="18"/>
                <w:shd w:val="clear" w:color="auto" w:fill="FFFFFF"/>
                <w:rtl/>
              </w:rPr>
              <w:t>91490, ישראל</w:t>
            </w:r>
          </w:p>
        </w:tc>
      </w:tr>
      <w:tr w:rsidR="00B3317D" w:rsidTr="00B3317D">
        <w:trPr>
          <w:jc w:val="center"/>
        </w:trPr>
        <w:tc>
          <w:tcPr>
            <w:tcW w:w="3675" w:type="dxa"/>
            <w:vAlign w:val="center"/>
            <w:hideMark/>
          </w:tcPr>
          <w:p w:rsidR="00B3317D" w:rsidRDefault="00B3317D">
            <w:pPr>
              <w:rPr>
                <w:color w:val="1F497D"/>
                <w:sz w:val="18"/>
                <w:szCs w:val="18"/>
                <w:shd w:val="clear" w:color="auto" w:fill="FFFFFF"/>
              </w:rPr>
            </w:pPr>
          </w:p>
        </w:tc>
        <w:tc>
          <w:tcPr>
            <w:tcW w:w="735" w:type="dxa"/>
            <w:vAlign w:val="center"/>
            <w:hideMark/>
          </w:tcPr>
          <w:p w:rsidR="00B3317D" w:rsidRDefault="00B3317D">
            <w:pPr>
              <w:bidi w:val="0"/>
              <w:rPr>
                <w:rFonts w:ascii="Times New Roman" w:eastAsia="Times New Roman" w:hAnsi="Times New Roman" w:cs="Times New Roman"/>
                <w:color w:val="auto"/>
                <w:sz w:val="20"/>
                <w:szCs w:val="20"/>
              </w:rPr>
            </w:pPr>
          </w:p>
        </w:tc>
        <w:tc>
          <w:tcPr>
            <w:tcW w:w="900" w:type="dxa"/>
            <w:vAlign w:val="center"/>
            <w:hideMark/>
          </w:tcPr>
          <w:p w:rsidR="00B3317D" w:rsidRDefault="00B3317D">
            <w:pPr>
              <w:bidi w:val="0"/>
              <w:rPr>
                <w:rFonts w:ascii="Times New Roman" w:eastAsia="Times New Roman" w:hAnsi="Times New Roman" w:cs="Times New Roman"/>
                <w:color w:val="auto"/>
                <w:sz w:val="20"/>
                <w:szCs w:val="20"/>
              </w:rPr>
            </w:pPr>
          </w:p>
        </w:tc>
        <w:tc>
          <w:tcPr>
            <w:tcW w:w="3225" w:type="dxa"/>
            <w:vAlign w:val="center"/>
            <w:hideMark/>
          </w:tcPr>
          <w:p w:rsidR="00B3317D" w:rsidRDefault="00B3317D">
            <w:pPr>
              <w:bidi w:val="0"/>
              <w:rPr>
                <w:rFonts w:ascii="Times New Roman" w:eastAsia="Times New Roman" w:hAnsi="Times New Roman" w:cs="Times New Roman"/>
                <w:color w:val="auto"/>
                <w:sz w:val="20"/>
                <w:szCs w:val="20"/>
              </w:rPr>
            </w:pPr>
          </w:p>
        </w:tc>
      </w:tr>
    </w:tbl>
    <w:p w:rsidR="00B3317D" w:rsidRDefault="00B3317D" w:rsidP="00B3317D">
      <w:pPr>
        <w:rPr>
          <w:rFonts w:ascii="Calibri" w:hAnsi="Calibri" w:cs="Calibri"/>
          <w:sz w:val="22"/>
          <w:szCs w:val="22"/>
        </w:rPr>
      </w:pPr>
    </w:p>
    <w:p w:rsidR="00B3317D" w:rsidRDefault="00B3317D" w:rsidP="00B3317D"/>
    <w:p w:rsidR="00B3317D" w:rsidRDefault="00B3317D" w:rsidP="00B3317D"/>
    <w:p w:rsidR="00B3317D" w:rsidRDefault="00B3317D" w:rsidP="00B3317D"/>
    <w:p w:rsidR="00A20B0C" w:rsidRPr="00B3317D" w:rsidRDefault="00A20B0C">
      <w:pPr>
        <w:rPr>
          <w:rFonts w:hint="cs"/>
        </w:rPr>
      </w:pPr>
      <w:bookmarkStart w:id="0" w:name="_GoBack"/>
      <w:bookmarkEnd w:id="0"/>
    </w:p>
    <w:sectPr w:rsidR="00A20B0C" w:rsidRPr="00B3317D" w:rsidSect="00D31C1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A51CBFC6"/>
    <w:name w:val="WW8Num39"/>
    <w:lvl w:ilvl="0">
      <w:start w:val="1"/>
      <w:numFmt w:val="decimal"/>
      <w:lvlText w:val="%1."/>
      <w:lvlJc w:val="left"/>
      <w:pPr>
        <w:tabs>
          <w:tab w:val="num" w:pos="0"/>
        </w:tabs>
        <w:ind w:left="720" w:hanging="360"/>
      </w:pPr>
      <w:rPr>
        <w:rFonts w:ascii="Arial Narrow" w:eastAsia="Calibri" w:hAnsi="Arial Narrow" w:cs="Arial"/>
        <w:b w:val="0"/>
        <w:i w:val="0"/>
      </w:rPr>
    </w:lvl>
    <w:lvl w:ilvl="1">
      <w:start w:val="1"/>
      <w:numFmt w:val="decimal"/>
      <w:lvlText w:val="%1.%2."/>
      <w:lvlJc w:val="left"/>
      <w:pPr>
        <w:tabs>
          <w:tab w:val="num" w:pos="0"/>
        </w:tabs>
        <w:ind w:left="750" w:hanging="390"/>
      </w:pPr>
      <w:rPr>
        <w:rFonts w:cs="Times New Roman"/>
        <w:color w:val="333333"/>
        <w:sz w:val="28"/>
      </w:rPr>
    </w:lvl>
    <w:lvl w:ilvl="2">
      <w:start w:val="1"/>
      <w:numFmt w:val="decimal"/>
      <w:lvlText w:val="%1.%2.%3."/>
      <w:lvlJc w:val="left"/>
      <w:pPr>
        <w:tabs>
          <w:tab w:val="num" w:pos="0"/>
        </w:tabs>
        <w:ind w:left="1080" w:hanging="720"/>
      </w:pPr>
      <w:rPr>
        <w:rFonts w:cs="Times New Roman"/>
        <w:color w:val="333333"/>
        <w:sz w:val="28"/>
      </w:rPr>
    </w:lvl>
    <w:lvl w:ilvl="3">
      <w:start w:val="1"/>
      <w:numFmt w:val="decimal"/>
      <w:lvlText w:val="%1.%2.%3.%4."/>
      <w:lvlJc w:val="left"/>
      <w:pPr>
        <w:tabs>
          <w:tab w:val="num" w:pos="0"/>
        </w:tabs>
        <w:ind w:left="1080" w:hanging="720"/>
      </w:pPr>
      <w:rPr>
        <w:rFonts w:cs="Times New Roman"/>
        <w:color w:val="333333"/>
        <w:sz w:val="28"/>
      </w:rPr>
    </w:lvl>
    <w:lvl w:ilvl="4">
      <w:start w:val="1"/>
      <w:numFmt w:val="decimal"/>
      <w:lvlText w:val="%1.%2.%3.%4.%5."/>
      <w:lvlJc w:val="left"/>
      <w:pPr>
        <w:tabs>
          <w:tab w:val="num" w:pos="0"/>
        </w:tabs>
        <w:ind w:left="1440" w:hanging="1080"/>
      </w:pPr>
      <w:rPr>
        <w:rFonts w:cs="Times New Roman"/>
        <w:color w:val="333333"/>
        <w:sz w:val="28"/>
      </w:rPr>
    </w:lvl>
    <w:lvl w:ilvl="5">
      <w:start w:val="1"/>
      <w:numFmt w:val="decimal"/>
      <w:lvlText w:val="%1.%2.%3.%4.%5.%6."/>
      <w:lvlJc w:val="left"/>
      <w:pPr>
        <w:tabs>
          <w:tab w:val="num" w:pos="0"/>
        </w:tabs>
        <w:ind w:left="1440" w:hanging="1080"/>
      </w:pPr>
      <w:rPr>
        <w:rFonts w:cs="Times New Roman"/>
        <w:color w:val="333333"/>
        <w:sz w:val="28"/>
      </w:rPr>
    </w:lvl>
    <w:lvl w:ilvl="6">
      <w:start w:val="1"/>
      <w:numFmt w:val="decimal"/>
      <w:lvlText w:val="%1.%2.%3.%4.%5.%6.%7."/>
      <w:lvlJc w:val="left"/>
      <w:pPr>
        <w:tabs>
          <w:tab w:val="num" w:pos="0"/>
        </w:tabs>
        <w:ind w:left="1800" w:hanging="1440"/>
      </w:pPr>
      <w:rPr>
        <w:rFonts w:cs="Times New Roman"/>
        <w:color w:val="333333"/>
        <w:sz w:val="28"/>
      </w:rPr>
    </w:lvl>
    <w:lvl w:ilvl="7">
      <w:start w:val="1"/>
      <w:numFmt w:val="decimal"/>
      <w:lvlText w:val="%1.%2.%3.%4.%5.%6.%7.%8."/>
      <w:lvlJc w:val="left"/>
      <w:pPr>
        <w:tabs>
          <w:tab w:val="num" w:pos="0"/>
        </w:tabs>
        <w:ind w:left="1800" w:hanging="1440"/>
      </w:pPr>
      <w:rPr>
        <w:rFonts w:cs="Times New Roman"/>
        <w:color w:val="333333"/>
        <w:sz w:val="28"/>
      </w:rPr>
    </w:lvl>
    <w:lvl w:ilvl="8">
      <w:start w:val="1"/>
      <w:numFmt w:val="decimal"/>
      <w:lvlText w:val="%1.%2.%3.%4.%5.%6.%7.%8.%9."/>
      <w:lvlJc w:val="left"/>
      <w:pPr>
        <w:tabs>
          <w:tab w:val="num" w:pos="0"/>
        </w:tabs>
        <w:ind w:left="2160" w:hanging="1800"/>
      </w:pPr>
      <w:rPr>
        <w:rFonts w:cs="Times New Roman"/>
        <w:color w:val="333333"/>
        <w:sz w:val="28"/>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17D"/>
    <w:rsid w:val="00A20B0C"/>
    <w:rsid w:val="00B3317D"/>
    <w:rsid w:val="00D31C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578485-25D7-4177-AD53-EAA293C2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17D"/>
    <w:pPr>
      <w:bidi/>
      <w:spacing w:after="0" w:line="240" w:lineRule="auto"/>
    </w:pPr>
    <w:rPr>
      <w:rFonts w:ascii="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317D"/>
    <w:rPr>
      <w:color w:val="3333CC"/>
      <w:u w:val="single"/>
    </w:rPr>
  </w:style>
  <w:style w:type="paragraph" w:styleId="BodyText">
    <w:name w:val="Body Text"/>
    <w:basedOn w:val="Normal"/>
    <w:link w:val="BodyTextChar"/>
    <w:uiPriority w:val="99"/>
    <w:semiHidden/>
    <w:unhideWhenUsed/>
    <w:rsid w:val="00B3317D"/>
    <w:pPr>
      <w:jc w:val="both"/>
    </w:pPr>
    <w:rPr>
      <w:rFonts w:ascii="Times New Roman" w:hAnsi="Times New Roman" w:cs="Times New Roman"/>
      <w:color w:val="auto"/>
      <w:lang w:eastAsia="he-IL"/>
    </w:rPr>
  </w:style>
  <w:style w:type="character" w:customStyle="1" w:styleId="BodyTextChar">
    <w:name w:val="Body Text Char"/>
    <w:basedOn w:val="DefaultParagraphFont"/>
    <w:link w:val="BodyText"/>
    <w:uiPriority w:val="99"/>
    <w:semiHidden/>
    <w:rsid w:val="00B3317D"/>
    <w:rPr>
      <w:rFonts w:ascii="Times New Roman" w:hAnsi="Times New Roman" w:cs="Times New Roman"/>
      <w:sz w:val="24"/>
      <w:szCs w:val="24"/>
      <w:lang w:eastAsia="he-IL"/>
    </w:rPr>
  </w:style>
  <w:style w:type="character" w:customStyle="1" w:styleId="ListParagraphChar">
    <w:name w:val="List Paragraph Char"/>
    <w:basedOn w:val="DefaultParagraphFont"/>
    <w:link w:val="ListParagraph"/>
    <w:uiPriority w:val="34"/>
    <w:locked/>
    <w:rsid w:val="00B3317D"/>
    <w:rPr>
      <w:rFonts w:ascii="Arial" w:hAnsi="Arial" w:cs="Arial"/>
    </w:rPr>
  </w:style>
  <w:style w:type="paragraph" w:styleId="ListParagraph">
    <w:name w:val="List Paragraph"/>
    <w:basedOn w:val="Normal"/>
    <w:link w:val="ListParagraphChar"/>
    <w:uiPriority w:val="34"/>
    <w:qFormat/>
    <w:rsid w:val="00B3317D"/>
    <w:pPr>
      <w:ind w:left="720"/>
      <w:jc w:val="center"/>
    </w:pPr>
    <w:rPr>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9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aly@most.gov.il" TargetMode="External"/><Relationship Id="rId3" Type="http://schemas.openxmlformats.org/officeDocument/2006/relationships/settings" Target="settings.xml"/><Relationship Id="rId7" Type="http://schemas.openxmlformats.org/officeDocument/2006/relationships/hyperlink" Target="https://www.gov.il/he/departments/publications/Call_for_bids/most_rfp2019080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D54559.CD848E4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Meira@most.gov.il" TargetMode="External"/><Relationship Id="rId4" Type="http://schemas.openxmlformats.org/officeDocument/2006/relationships/webSettings" Target="webSettings.xml"/><Relationship Id="rId9" Type="http://schemas.openxmlformats.org/officeDocument/2006/relationships/hyperlink" Target="http://www.most.gov.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רויטל מור</dc:creator>
  <cp:keywords/>
  <dc:description/>
  <cp:lastModifiedBy>רויטל מור</cp:lastModifiedBy>
  <cp:revision>1</cp:revision>
  <dcterms:created xsi:type="dcterms:W3CDTF">2019-08-13T09:46:00Z</dcterms:created>
  <dcterms:modified xsi:type="dcterms:W3CDTF">2019-08-13T09:47:00Z</dcterms:modified>
</cp:coreProperties>
</file>